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15A17" w14:textId="77777777" w:rsidR="00BF0D56" w:rsidRDefault="00BF0D56" w:rsidP="00BF0D56">
      <w:pPr>
        <w:pStyle w:val="a3"/>
      </w:pPr>
      <w:r w:rsidRPr="00BF0D56">
        <w:t>河南开放大学关于进一步加强</w:t>
      </w:r>
    </w:p>
    <w:p w14:paraId="3088A060" w14:textId="08AAFFBB" w:rsidR="00BF0D56" w:rsidRPr="00BF0D56" w:rsidRDefault="00BF0D56" w:rsidP="00BF0D56">
      <w:pPr>
        <w:pStyle w:val="a3"/>
      </w:pPr>
      <w:r w:rsidRPr="00BF0D56">
        <w:t>开放教育教学督导工作的通知</w:t>
      </w:r>
    </w:p>
    <w:p w14:paraId="75CB3866" w14:textId="77777777" w:rsidR="005206E4" w:rsidRDefault="005206E4" w:rsidP="00BF0D56">
      <w:pPr>
        <w:widowControl/>
        <w:shd w:val="clear" w:color="auto" w:fill="FFFFFF"/>
        <w:spacing w:line="490" w:lineRule="atLeast"/>
        <w:ind w:firstLineChars="0" w:firstLine="0"/>
        <w:jc w:val="center"/>
        <w:rPr>
          <w:rFonts w:cs="Times New Roman"/>
          <w:color w:val="2D2D2D"/>
          <w:kern w:val="0"/>
          <w:bdr w:val="none" w:sz="0" w:space="0" w:color="auto" w:frame="1"/>
        </w:rPr>
      </w:pPr>
    </w:p>
    <w:p w14:paraId="565B012C" w14:textId="7C3419B5" w:rsidR="00BF0D56" w:rsidRPr="00BF0D56" w:rsidRDefault="00BF0D56" w:rsidP="00BF0D56">
      <w:pPr>
        <w:widowControl/>
        <w:shd w:val="clear" w:color="auto" w:fill="FFFFFF"/>
        <w:spacing w:line="490" w:lineRule="atLeast"/>
        <w:ind w:firstLineChars="0" w:firstLine="0"/>
        <w:jc w:val="center"/>
        <w:rPr>
          <w:rFonts w:ascii="Times New Roman" w:eastAsia="宋体" w:hAnsi="Times New Roman" w:cs="Times New Roman"/>
          <w:color w:val="2D2D2D"/>
          <w:kern w:val="0"/>
        </w:rPr>
      </w:pPr>
      <w:proofErr w:type="gramStart"/>
      <w:r w:rsidRPr="00BF0D56">
        <w:rPr>
          <w:rFonts w:cs="Times New Roman" w:hint="eastAsia"/>
          <w:color w:val="2D2D2D"/>
          <w:kern w:val="0"/>
          <w:bdr w:val="none" w:sz="0" w:space="0" w:color="auto" w:frame="1"/>
        </w:rPr>
        <w:t>豫开督导</w:t>
      </w:r>
      <w:proofErr w:type="gramEnd"/>
      <w:r w:rsidRPr="00BF0D56">
        <w:rPr>
          <w:rFonts w:cs="Times New Roman" w:hint="eastAsia"/>
          <w:color w:val="2D2D2D"/>
          <w:kern w:val="0"/>
          <w:bdr w:val="none" w:sz="0" w:space="0" w:color="auto" w:frame="1"/>
        </w:rPr>
        <w:t>〔</w:t>
      </w:r>
      <w:r w:rsidRPr="00BF0D56">
        <w:rPr>
          <w:rFonts w:ascii="inherit" w:hAnsi="inherit" w:cs="Times New Roman"/>
          <w:color w:val="2D2D2D"/>
          <w:kern w:val="0"/>
          <w:bdr w:val="none" w:sz="0" w:space="0" w:color="auto" w:frame="1"/>
        </w:rPr>
        <w:t>2021</w:t>
      </w:r>
      <w:r w:rsidRPr="00BF0D56">
        <w:rPr>
          <w:rFonts w:cs="Times New Roman" w:hint="eastAsia"/>
          <w:color w:val="2D2D2D"/>
          <w:kern w:val="0"/>
          <w:bdr w:val="none" w:sz="0" w:space="0" w:color="auto" w:frame="1"/>
        </w:rPr>
        <w:t>〕</w:t>
      </w:r>
      <w:r w:rsidRPr="00BF0D56">
        <w:rPr>
          <w:rFonts w:ascii="inherit" w:hAnsi="inherit" w:cs="Times New Roman"/>
          <w:color w:val="2D2D2D"/>
          <w:kern w:val="0"/>
          <w:bdr w:val="none" w:sz="0" w:space="0" w:color="auto" w:frame="1"/>
        </w:rPr>
        <w:t>3</w:t>
      </w:r>
      <w:r w:rsidRPr="00BF0D56">
        <w:rPr>
          <w:rFonts w:cs="Times New Roman" w:hint="eastAsia"/>
          <w:color w:val="2D2D2D"/>
          <w:kern w:val="0"/>
          <w:bdr w:val="none" w:sz="0" w:space="0" w:color="auto" w:frame="1"/>
        </w:rPr>
        <w:t>号</w:t>
      </w:r>
    </w:p>
    <w:p w14:paraId="7C48D304" w14:textId="77777777" w:rsidR="00BF0D56" w:rsidRPr="00BF0D56" w:rsidRDefault="00BF0D56" w:rsidP="00BF0D56">
      <w:pPr>
        <w:widowControl/>
        <w:shd w:val="clear" w:color="auto" w:fill="FFFFFF"/>
        <w:spacing w:line="559" w:lineRule="atLeast"/>
        <w:ind w:firstLineChars="0" w:firstLine="0"/>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校内各部门，各市、直属县电大：</w:t>
      </w:r>
    </w:p>
    <w:p w14:paraId="10D43F16"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为进一步做好教学支持服务，建立健全教学质量监控体系，完善教学质量管理运行机制，落实立德树人的根本任务，提高人才培养质量，切实推进开放教育教学高质量发展，按照国家开放大学实施“创优提质”战略要求，结合我省电大实际，现就进一步加强开放教育教学督导工作通知如下，请遵照执行。</w:t>
      </w:r>
    </w:p>
    <w:p w14:paraId="3984E19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一、教学督导的指导思想和工作原则</w:t>
      </w:r>
    </w:p>
    <w:p w14:paraId="39CE68D1"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（一）指导思想</w:t>
      </w:r>
    </w:p>
    <w:p w14:paraId="3E97FE68"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全面贯彻党的教育方针和国家的政策、法规，加强开放教育教学督导，以督促教、以督促学、以督促管、督导结合，重在指导。遵循教育教学规律，坚持立德树人，以人为本，认真贯彻落实“四有”好教师标准，树立以教师为主导、以学生为主体、以学生学习为中心的教育理念，推进全面教学质量管理。</w:t>
      </w:r>
    </w:p>
    <w:p w14:paraId="6807A58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（二）工作原则</w:t>
      </w:r>
    </w:p>
    <w:p w14:paraId="0865623E"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坚持方向性、客观性、协调性和引导性的原则。</w:t>
      </w:r>
    </w:p>
    <w:p w14:paraId="34769B39"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lastRenderedPageBreak/>
        <w:t>1.方向性原则。即坚持党和国家的教育方针、政策和法规，遵循教育教学规律，执行教育行政部门的有关规定和要求，落实学校党委行政的决议和决定，维护学校信誉。</w:t>
      </w:r>
    </w:p>
    <w:p w14:paraId="452DA41C"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2.客观性原则。即坚持督导工作深入教学工作和教学管理工作一线，认真调查研究，客观公正反映和分析教学工作的实际情况，实事求是进行反馈和评价。</w:t>
      </w:r>
    </w:p>
    <w:p w14:paraId="02FDAE2D"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3.协调性原则。即坚持明确职责、层级监控。省校、市县电大及部门之间相互配合，沟通协调，有效开展各项教学质量监控工作。</w:t>
      </w:r>
    </w:p>
    <w:p w14:paraId="590FAC51"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4.引导性原则。即坚持教学督导的激励、引导的重要作用，发现、树立典型，及时总结经验，相关单位或部门共同研究解决问题办法，明确整改方向。</w:t>
      </w:r>
    </w:p>
    <w:p w14:paraId="49529391"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二、教学督导的任务</w:t>
      </w:r>
    </w:p>
    <w:p w14:paraId="7FF400FB"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（一）督促落实立德树人根本任务</w:t>
      </w:r>
    </w:p>
    <w:p w14:paraId="4ED69F2F"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督促落实开放教育</w:t>
      </w:r>
      <w:proofErr w:type="gramStart"/>
      <w:r w:rsidRPr="00BF0D56">
        <w:rPr>
          <w:rFonts w:cs="Times New Roman" w:hint="eastAsia"/>
          <w:color w:val="2D2D2D"/>
          <w:kern w:val="0"/>
          <w:bdr w:val="none" w:sz="0" w:space="0" w:color="auto" w:frame="1"/>
        </w:rPr>
        <w:t>思政教育</w:t>
      </w:r>
      <w:proofErr w:type="gramEnd"/>
      <w:r w:rsidRPr="00BF0D56">
        <w:rPr>
          <w:rFonts w:cs="Times New Roman" w:hint="eastAsia"/>
          <w:color w:val="2D2D2D"/>
          <w:kern w:val="0"/>
          <w:bdr w:val="none" w:sz="0" w:space="0" w:color="auto" w:frame="1"/>
        </w:rPr>
        <w:t>相关制度建设，总结意识形态工作开展情况并分析开展效果，完善“三全育人”工作举措；督促抓好开放</w:t>
      </w:r>
      <w:proofErr w:type="gramStart"/>
      <w:r w:rsidRPr="00BF0D56">
        <w:rPr>
          <w:rFonts w:cs="Times New Roman" w:hint="eastAsia"/>
          <w:color w:val="2D2D2D"/>
          <w:kern w:val="0"/>
          <w:bdr w:val="none" w:sz="0" w:space="0" w:color="auto" w:frame="1"/>
        </w:rPr>
        <w:t>教育思政课程</w:t>
      </w:r>
      <w:proofErr w:type="gramEnd"/>
      <w:r w:rsidRPr="00BF0D56">
        <w:rPr>
          <w:rFonts w:cs="Times New Roman" w:hint="eastAsia"/>
          <w:color w:val="2D2D2D"/>
          <w:kern w:val="0"/>
          <w:bdr w:val="none" w:sz="0" w:space="0" w:color="auto" w:frame="1"/>
        </w:rPr>
        <w:t>建设及课程思政，加强</w:t>
      </w:r>
      <w:proofErr w:type="gramStart"/>
      <w:r w:rsidRPr="00BF0D56">
        <w:rPr>
          <w:rFonts w:cs="Times New Roman" w:hint="eastAsia"/>
          <w:color w:val="2D2D2D"/>
          <w:kern w:val="0"/>
          <w:bdr w:val="none" w:sz="0" w:space="0" w:color="auto" w:frame="1"/>
        </w:rPr>
        <w:t>思政教师</w:t>
      </w:r>
      <w:proofErr w:type="gramEnd"/>
      <w:r w:rsidRPr="00BF0D56">
        <w:rPr>
          <w:rFonts w:cs="Times New Roman" w:hint="eastAsia"/>
          <w:color w:val="2D2D2D"/>
          <w:kern w:val="0"/>
          <w:bdr w:val="none" w:sz="0" w:space="0" w:color="auto" w:frame="1"/>
        </w:rPr>
        <w:t>队伍建设</w:t>
      </w:r>
      <w:r w:rsidRPr="00BF0D56">
        <w:rPr>
          <w:rFonts w:ascii="inherit" w:hAnsi="inherit" w:cs="Times New Roman"/>
          <w:color w:val="2D2D2D"/>
          <w:kern w:val="0"/>
          <w:bdr w:val="none" w:sz="0" w:space="0" w:color="auto" w:frame="1"/>
        </w:rPr>
        <w:t>, </w:t>
      </w:r>
      <w:r w:rsidRPr="00BF0D56">
        <w:rPr>
          <w:rFonts w:cs="Times New Roman" w:hint="eastAsia"/>
          <w:color w:val="2D2D2D"/>
          <w:kern w:val="0"/>
          <w:bdr w:val="none" w:sz="0" w:space="0" w:color="auto" w:frame="1"/>
        </w:rPr>
        <w:t>加大</w:t>
      </w:r>
      <w:proofErr w:type="gramStart"/>
      <w:r w:rsidRPr="00BF0D56">
        <w:rPr>
          <w:rFonts w:cs="Times New Roman" w:hint="eastAsia"/>
          <w:color w:val="2D2D2D"/>
          <w:kern w:val="0"/>
          <w:bdr w:val="none" w:sz="0" w:space="0" w:color="auto" w:frame="1"/>
        </w:rPr>
        <w:t>思政教学</w:t>
      </w:r>
      <w:proofErr w:type="gramEnd"/>
      <w:r w:rsidRPr="00BF0D56">
        <w:rPr>
          <w:rFonts w:cs="Times New Roman" w:hint="eastAsia"/>
          <w:color w:val="2D2D2D"/>
          <w:kern w:val="0"/>
          <w:bdr w:val="none" w:sz="0" w:space="0" w:color="auto" w:frame="1"/>
        </w:rPr>
        <w:t>经费投入，加强</w:t>
      </w:r>
      <w:proofErr w:type="gramStart"/>
      <w:r w:rsidRPr="00BF0D56">
        <w:rPr>
          <w:rFonts w:cs="Times New Roman" w:hint="eastAsia"/>
          <w:color w:val="2D2D2D"/>
          <w:kern w:val="0"/>
          <w:bdr w:val="none" w:sz="0" w:space="0" w:color="auto" w:frame="1"/>
        </w:rPr>
        <w:t>思政教学</w:t>
      </w:r>
      <w:proofErr w:type="gramEnd"/>
      <w:r w:rsidRPr="00BF0D56">
        <w:rPr>
          <w:rFonts w:cs="Times New Roman" w:hint="eastAsia"/>
          <w:color w:val="2D2D2D"/>
          <w:kern w:val="0"/>
          <w:bdr w:val="none" w:sz="0" w:space="0" w:color="auto" w:frame="1"/>
        </w:rPr>
        <w:t>实践基地建设，促进</w:t>
      </w:r>
      <w:proofErr w:type="gramStart"/>
      <w:r w:rsidRPr="00BF0D56">
        <w:rPr>
          <w:rFonts w:cs="Times New Roman" w:hint="eastAsia"/>
          <w:color w:val="2D2D2D"/>
          <w:kern w:val="0"/>
          <w:bdr w:val="none" w:sz="0" w:space="0" w:color="auto" w:frame="1"/>
        </w:rPr>
        <w:t>思政教育</w:t>
      </w:r>
      <w:proofErr w:type="gramEnd"/>
      <w:r w:rsidRPr="00BF0D56">
        <w:rPr>
          <w:rFonts w:cs="Times New Roman" w:hint="eastAsia"/>
          <w:color w:val="2D2D2D"/>
          <w:kern w:val="0"/>
          <w:bdr w:val="none" w:sz="0" w:space="0" w:color="auto" w:frame="1"/>
        </w:rPr>
        <w:t>的教学过程落实。督促落实</w:t>
      </w:r>
      <w:proofErr w:type="gramStart"/>
      <w:r w:rsidRPr="00BF0D56">
        <w:rPr>
          <w:rFonts w:cs="Times New Roman" w:hint="eastAsia"/>
          <w:color w:val="2D2D2D"/>
          <w:kern w:val="0"/>
          <w:bdr w:val="none" w:sz="0" w:space="0" w:color="auto" w:frame="1"/>
        </w:rPr>
        <w:t>思政教育</w:t>
      </w:r>
      <w:proofErr w:type="gramEnd"/>
      <w:r w:rsidRPr="00BF0D56">
        <w:rPr>
          <w:rFonts w:cs="Times New Roman" w:hint="eastAsia"/>
          <w:color w:val="2D2D2D"/>
          <w:kern w:val="0"/>
          <w:bdr w:val="none" w:sz="0" w:space="0" w:color="auto" w:frame="1"/>
        </w:rPr>
        <w:t>和意识形态工作要求的举措、效果，并作为开放教育教学检查的一项重要内容。</w:t>
      </w:r>
    </w:p>
    <w:p w14:paraId="1AA5AD9C"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（二）定期开展网上教学活动督导工作</w:t>
      </w:r>
    </w:p>
    <w:p w14:paraId="610203D9"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lastRenderedPageBreak/>
        <w:t>每学期开展一次全省电大网上教学活动检查。检查的主要内容包括：非统设课程教学资源和国家开放大学统设课程配套教学资源的建设（包括课程导学、课程说明、教师介绍、教学大纲、教学方案、作业与练习、复习指导、往届试题、直播课堂等）情况。检查省校责任教师对所承担的课程网上答疑和教研活动量化标准的落实情况。督促并指导各市、直属县电大、学习中心组织学生登录国家开放大学学习网在线学习，按时完成形成性考核并组织辅导教师进行规范评阅。</w:t>
      </w:r>
    </w:p>
    <w:p w14:paraId="255A954B"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（三）定期开展全省电大综合教学检查</w:t>
      </w:r>
    </w:p>
    <w:p w14:paraId="1F1E2295"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每年开展一次全省电大开放教育综合教学检查工作。除认真组织、落实国家开放大学要求的年度教学检查内容外，检查内容还包括：学校课程安排，对学生参与学习的管理考核；形成性考核及评阅是否规范；毕业论文工作的组织与实施（指导教师资格、指导过程及效果、论文撰写及答辩情况），毕业实践环节管理是否符合规定等；网上教学基本情况，以河南开放大学网上教学检查指标为依据；网上教学相关制度建设与落实情况；</w:t>
      </w:r>
      <w:proofErr w:type="gramStart"/>
      <w:r w:rsidRPr="00BF0D56">
        <w:rPr>
          <w:rFonts w:cs="Times New Roman" w:hint="eastAsia"/>
          <w:color w:val="2D2D2D"/>
          <w:kern w:val="0"/>
          <w:bdr w:val="none" w:sz="0" w:space="0" w:color="auto" w:frame="1"/>
        </w:rPr>
        <w:t>思政课</w:t>
      </w:r>
      <w:proofErr w:type="gramEnd"/>
      <w:r w:rsidRPr="00BF0D56">
        <w:rPr>
          <w:rFonts w:cs="Times New Roman" w:hint="eastAsia"/>
          <w:color w:val="2D2D2D"/>
          <w:kern w:val="0"/>
          <w:bdr w:val="none" w:sz="0" w:space="0" w:color="auto" w:frame="1"/>
        </w:rPr>
        <w:t>网上教学情况等。</w:t>
      </w:r>
    </w:p>
    <w:p w14:paraId="62217AC7"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（四）督导资源建设配置使用情况</w:t>
      </w:r>
    </w:p>
    <w:p w14:paraId="39701D87"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督导各级电大引导学生应用课程资源进行学习的举措和效果，提升“主教材订购率”的举措和效果；通过对比，分析文字教材的配置、应用情况及服务管理情况；检查建设专业及课程的学习资源建设的投入情况、教学支持服务情况、实际使用情况</w:t>
      </w:r>
      <w:r w:rsidRPr="00BF0D56">
        <w:rPr>
          <w:rFonts w:ascii="inherit" w:hAnsi="inherit" w:cs="Times New Roman"/>
          <w:color w:val="2D2D2D"/>
          <w:kern w:val="0"/>
          <w:bdr w:val="none" w:sz="0" w:space="0" w:color="auto" w:frame="1"/>
        </w:rPr>
        <w:t>, </w:t>
      </w:r>
      <w:r w:rsidRPr="00BF0D56">
        <w:rPr>
          <w:rFonts w:cs="Times New Roman" w:hint="eastAsia"/>
          <w:color w:val="2D2D2D"/>
          <w:kern w:val="0"/>
          <w:bdr w:val="none" w:sz="0" w:space="0" w:color="auto" w:frame="1"/>
        </w:rPr>
        <w:t>以及建设的选</w:t>
      </w:r>
      <w:r w:rsidRPr="00BF0D56">
        <w:rPr>
          <w:rFonts w:cs="Times New Roman" w:hint="eastAsia"/>
          <w:color w:val="2D2D2D"/>
          <w:kern w:val="0"/>
          <w:bdr w:val="none" w:sz="0" w:space="0" w:color="auto" w:frame="1"/>
        </w:rPr>
        <w:lastRenderedPageBreak/>
        <w:t>修课程及非统设课程学习资源的基础投入、配置应用情况及其建设模式和引导学生应用的效果。</w:t>
      </w:r>
    </w:p>
    <w:p w14:paraId="1D2999D7"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（五）督导网络教学团队建设与推进</w:t>
      </w:r>
    </w:p>
    <w:p w14:paraId="5FFF7FC1"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以网络教学团队建设数量与网上教学数据作为参考数据，督导、检查各级网络教学团队落实国家开放大学关于网络教学团队建设的意见和要求情况，不断建立完善激励约束机制，提高教学团队建设的责任意识。督促落实相关制度及评价标准，积极推进网络教学团队工作。</w:t>
      </w:r>
    </w:p>
    <w:p w14:paraId="67D50739"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三、教学督导的组织</w:t>
      </w:r>
    </w:p>
    <w:p w14:paraId="7282F610"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（一）省校督导组织</w:t>
      </w:r>
    </w:p>
    <w:p w14:paraId="2526B448"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省校成立由校长任主任、分管副校长任副主任的河南开放大学教学质量保证委员会。成员由各市、直属县电大校长等办学单位的主要领导、省校教务处及相关业务部门主要负责人组成。教学质量保证委员会负责对学校的教学工作、教学研究、教学改革、教学秩序、教学质量、教学管理等进行检查、督促、评价及指导。</w:t>
      </w:r>
    </w:p>
    <w:p w14:paraId="58DEFA5B"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（二）市级电大督导组织</w:t>
      </w:r>
    </w:p>
    <w:p w14:paraId="7D376AD8"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各市、直属县电大应设立相应的工作部门或组织，负责对本单位开放教育及所属电大的教学质量进行督导检查；建立与省校教学管理部门的经常性联系，完成省校教学督导委员会安排的相关工作。</w:t>
      </w:r>
    </w:p>
    <w:p w14:paraId="520ACEFD"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（三）建立学生督导员制度</w:t>
      </w:r>
    </w:p>
    <w:p w14:paraId="03B396C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lastRenderedPageBreak/>
        <w:t>建立学生督导员制度，各市、直属县电大推荐学生督导员参与教学督导相关工作，不断健全全省电大质量监控体系，落实质量监控强化工程，充分发挥学生参与教学管理的作用。</w:t>
      </w:r>
    </w:p>
    <w:p w14:paraId="1BAB3199"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四、教学督导的基本形式与方法</w:t>
      </w:r>
    </w:p>
    <w:p w14:paraId="119A7900"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教学督导的基本形式分为：日常督导检查、专项督导检查和综合督导评价等。</w:t>
      </w:r>
    </w:p>
    <w:p w14:paraId="6E20B43D"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（一）日常督导检查</w:t>
      </w:r>
    </w:p>
    <w:p w14:paraId="77AF6DAF"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由各市、直属县电大组织实施。是对本单位及所属县级电大（学习中心）的教学及教学管理的各个环节进行的较为全面的督导检查。具体包括教学准备（教学计划、课程安排表、授课计划的制定及执行情况；教材及多种媒体资源的配置情况；教师的配备与培训情况等）、课程教学（课程导学方案、教案的设计和实施情况；面授教学、网上教学的学时安排、时间及教学情况等）、实践教学环节（课程实践、实习实训、综合实践教学的安排与实施情况）、助学服务（学生自主学习的支持服务情况）、考核及评阅（形成性考核和期末考试等）、教研活动组织和参与情况等。</w:t>
      </w:r>
    </w:p>
    <w:p w14:paraId="200FD793"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（二）专项督导检查</w:t>
      </w:r>
    </w:p>
    <w:p w14:paraId="1ACDE5C4"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由省校相关业务部门等组织实施。是根据学校安排或上级有关部门下达的业务检查和调研要求，对开放教育实施过程中的重点问题和教务与教学管理的薄弱环节（包括招生、重点教学环节、综合</w:t>
      </w:r>
      <w:r w:rsidRPr="00BF0D56">
        <w:rPr>
          <w:rFonts w:cs="Times New Roman" w:hint="eastAsia"/>
          <w:color w:val="2D2D2D"/>
          <w:kern w:val="0"/>
          <w:bdr w:val="none" w:sz="0" w:space="0" w:color="auto" w:frame="1"/>
        </w:rPr>
        <w:lastRenderedPageBreak/>
        <w:t>实践环节、形成性考核环节和考试环节、教材等）等进行的专项督导检查。</w:t>
      </w:r>
    </w:p>
    <w:p w14:paraId="67F44EFE"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（三）综合督导评价</w:t>
      </w:r>
    </w:p>
    <w:p w14:paraId="2287485B"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由省校教学督导与评估办公室组织实施，是对全省各级电大、办学单位、相关业务部门的教学及教学管理工作开展、落实情况，教学质量总体情况进行的督导检查与考核评价。</w:t>
      </w:r>
    </w:p>
    <w:p w14:paraId="3AEF9BFB"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教学督导的方法主要有：听课、座谈、问卷调查、巡视、实地检查，以及了解上级部门、社会和学生的评价等。</w:t>
      </w:r>
    </w:p>
    <w:p w14:paraId="153FCC9F"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五、教学督导的基本要求</w:t>
      </w:r>
    </w:p>
    <w:p w14:paraId="4B999A78"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（一）高度重视</w:t>
      </w:r>
    </w:p>
    <w:p w14:paraId="5EC7DBF6"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全省各级电大要充分认识教学督导工作的重要性，从系统发展全局和战略高度认识教学质量督导监控工作，把教学质量与学校的生存和发展，与学校品牌塑造、加强内涵建设、提升综合办学实力和提高系统核心竞争力紧密联系在一起，正确认识和处理规模、质量、结构、效益的关系，严格要求，加强教学督导工作。</w:t>
      </w:r>
    </w:p>
    <w:p w14:paraId="344E5B90"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（二）加强领导</w:t>
      </w:r>
    </w:p>
    <w:p w14:paraId="3D1B6C1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全省各级电大要加强领导，健全机构或组织，配备具有丰富教学经验、责任心强的人员承担教学督导工作；要采取有效措施，保证督导工作规范、正常、有序开展；主要领导应认真部署相关工作，及时听取督导工作汇报，积极研究教学督导中提出的有关问题和建议，推动教学督导工作扎实有效地开展。</w:t>
      </w:r>
    </w:p>
    <w:p w14:paraId="600DB053"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lastRenderedPageBreak/>
        <w:t>（三）规范督导</w:t>
      </w:r>
    </w:p>
    <w:p w14:paraId="08324C6D"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全省各级电大督导部门或组织要认真设计、合理安排，采取多种有效方式，特别注重发挥网络信息技术优势，积极开展线上线下教学督导。教学督导人员要依法依规开展督导工作，做到客观、真实、公正、合理，要及时与被督导单位、部门和人员进行沟通和反馈，更好地指导和改进工作。</w:t>
      </w:r>
    </w:p>
    <w:p w14:paraId="0CAAB72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楷体" w:eastAsia="楷体" w:hAnsi="楷体" w:cs="Times New Roman" w:hint="eastAsia"/>
          <w:color w:val="2D2D2D"/>
          <w:kern w:val="0"/>
          <w:bdr w:val="none" w:sz="0" w:space="0" w:color="auto" w:frame="1"/>
        </w:rPr>
        <w:t>（四）支持配合</w:t>
      </w:r>
    </w:p>
    <w:p w14:paraId="0C405C69"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所有单位和人员应当按照督导要求，进行自查、自评，并积极采纳督导人员提出的意见或建议，采取相应措施积极完善和改进。要积极配合督导工作，虚心接受督导、检查，任何人不得拒绝、拖延督导检查工作，不得以任何方式对督导工作进行干扰。</w:t>
      </w:r>
    </w:p>
    <w:p w14:paraId="1C25DF72"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ascii="黑体" w:eastAsia="黑体" w:hAnsi="黑体" w:cs="Times New Roman" w:hint="eastAsia"/>
          <w:color w:val="2D2D2D"/>
          <w:kern w:val="0"/>
          <w:bdr w:val="none" w:sz="0" w:space="0" w:color="auto" w:frame="1"/>
        </w:rPr>
        <w:t>六、反馈和激励机制</w:t>
      </w:r>
    </w:p>
    <w:p w14:paraId="73F9CDD6" w14:textId="77777777" w:rsidR="00BF0D56" w:rsidRPr="00BF0D56" w:rsidRDefault="00BF0D56" w:rsidP="00BF0D56">
      <w:pPr>
        <w:widowControl/>
        <w:shd w:val="clear" w:color="auto" w:fill="FFFFFF"/>
        <w:spacing w:line="559" w:lineRule="atLeast"/>
        <w:ind w:firstLineChars="0" w:firstLine="632"/>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教学督导结果须形成文字督导、检查报告，附带数据统计</w:t>
      </w:r>
      <w:r w:rsidRPr="00BF0D56">
        <w:rPr>
          <w:rFonts w:ascii="inherit" w:hAnsi="inherit" w:cs="Times New Roman"/>
          <w:color w:val="2D2D2D"/>
          <w:kern w:val="0"/>
          <w:bdr w:val="none" w:sz="0" w:space="0" w:color="auto" w:frame="1"/>
        </w:rPr>
        <w:t>, </w:t>
      </w:r>
      <w:r w:rsidRPr="00BF0D56">
        <w:rPr>
          <w:rFonts w:cs="Times New Roman" w:hint="eastAsia"/>
          <w:color w:val="2D2D2D"/>
          <w:kern w:val="0"/>
          <w:bdr w:val="none" w:sz="0" w:space="0" w:color="auto" w:frame="1"/>
        </w:rPr>
        <w:t>并下发检查总结；要通过召开会议等形式，及时反馈给被检查单位或个人，督促整改。同时将各项检查及评估结果纳入当年全省电大系统评优或个人评优、晋职、晋级及年度考核内容。对检查评估优秀单位和个人，学校将给予表彰和物质奖励。</w:t>
      </w:r>
    </w:p>
    <w:p w14:paraId="515A7823" w14:textId="77777777" w:rsidR="00BF0D56" w:rsidRPr="00BF0D56" w:rsidRDefault="00BF0D56" w:rsidP="00BF0D56">
      <w:pPr>
        <w:widowControl/>
        <w:shd w:val="clear" w:color="auto" w:fill="FFFFFF"/>
        <w:spacing w:line="559" w:lineRule="atLeast"/>
        <w:ind w:firstLineChars="0" w:firstLine="632"/>
        <w:jc w:val="right"/>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河南开放大学</w:t>
      </w:r>
    </w:p>
    <w:p w14:paraId="16BFB80D" w14:textId="77777777" w:rsidR="00BF0D56" w:rsidRPr="00BF0D56" w:rsidRDefault="00BF0D56" w:rsidP="00BF0D56">
      <w:pPr>
        <w:widowControl/>
        <w:shd w:val="clear" w:color="auto" w:fill="FFFFFF"/>
        <w:spacing w:line="559" w:lineRule="atLeast"/>
        <w:ind w:firstLineChars="0" w:firstLine="640"/>
        <w:jc w:val="right"/>
        <w:rPr>
          <w:rFonts w:ascii="Times New Roman" w:eastAsia="宋体" w:hAnsi="Times New Roman" w:cs="Times New Roman"/>
          <w:color w:val="2D2D2D"/>
          <w:kern w:val="0"/>
        </w:rPr>
      </w:pPr>
      <w:r w:rsidRPr="00BF0D56">
        <w:rPr>
          <w:rFonts w:cs="Times New Roman" w:hint="eastAsia"/>
          <w:color w:val="2D2D2D"/>
          <w:kern w:val="0"/>
          <w:bdr w:val="none" w:sz="0" w:space="0" w:color="auto" w:frame="1"/>
        </w:rPr>
        <w:t>2021年</w:t>
      </w:r>
      <w:r w:rsidRPr="00BF0D56">
        <w:rPr>
          <w:rFonts w:ascii="inherit" w:hAnsi="inherit" w:cs="Times New Roman"/>
          <w:color w:val="2D2D2D"/>
          <w:kern w:val="0"/>
          <w:bdr w:val="none" w:sz="0" w:space="0" w:color="auto" w:frame="1"/>
        </w:rPr>
        <w:t>11</w:t>
      </w:r>
      <w:r w:rsidRPr="00BF0D56">
        <w:rPr>
          <w:rFonts w:cs="Times New Roman" w:hint="eastAsia"/>
          <w:color w:val="2D2D2D"/>
          <w:kern w:val="0"/>
          <w:bdr w:val="none" w:sz="0" w:space="0" w:color="auto" w:frame="1"/>
        </w:rPr>
        <w:t>月</w:t>
      </w:r>
      <w:r w:rsidRPr="00BF0D56">
        <w:rPr>
          <w:rFonts w:ascii="inherit" w:hAnsi="inherit" w:cs="Times New Roman"/>
          <w:color w:val="2D2D2D"/>
          <w:kern w:val="0"/>
          <w:bdr w:val="none" w:sz="0" w:space="0" w:color="auto" w:frame="1"/>
        </w:rPr>
        <w:t>8</w:t>
      </w:r>
      <w:r w:rsidRPr="00BF0D56">
        <w:rPr>
          <w:rFonts w:cs="Times New Roman" w:hint="eastAsia"/>
          <w:color w:val="2D2D2D"/>
          <w:kern w:val="0"/>
          <w:bdr w:val="none" w:sz="0" w:space="0" w:color="auto" w:frame="1"/>
        </w:rPr>
        <w:t>日</w:t>
      </w:r>
    </w:p>
    <w:p w14:paraId="3C386598" w14:textId="77777777" w:rsidR="00CB51CB" w:rsidRDefault="00CB51CB">
      <w:pPr>
        <w:ind w:firstLine="640"/>
      </w:pPr>
    </w:p>
    <w:sectPr w:rsidR="00CB51CB" w:rsidSect="0018571C">
      <w:headerReference w:type="even" r:id="rId6"/>
      <w:headerReference w:type="default" r:id="rId7"/>
      <w:footerReference w:type="even" r:id="rId8"/>
      <w:footerReference w:type="default" r:id="rId9"/>
      <w:headerReference w:type="first" r:id="rId10"/>
      <w:footerReference w:type="first" r:id="rId11"/>
      <w:pgSz w:w="11906" w:h="16838"/>
      <w:pgMar w:top="1701" w:right="1304" w:bottom="170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67713" w14:textId="77777777" w:rsidR="00C236F0" w:rsidRDefault="00C236F0" w:rsidP="00BB30BE">
      <w:pPr>
        <w:spacing w:line="240" w:lineRule="auto"/>
        <w:ind w:firstLine="640"/>
      </w:pPr>
      <w:r>
        <w:separator/>
      </w:r>
    </w:p>
  </w:endnote>
  <w:endnote w:type="continuationSeparator" w:id="0">
    <w:p w14:paraId="499E41A1" w14:textId="77777777" w:rsidR="00C236F0" w:rsidRDefault="00C236F0" w:rsidP="00BB30B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82F21" w14:textId="77777777" w:rsidR="00BB30BE" w:rsidRDefault="00BB30BE">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7B0BD" w14:textId="77777777" w:rsidR="00BB30BE" w:rsidRDefault="00BB30BE">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F6CC7" w14:textId="77777777" w:rsidR="00BB30BE" w:rsidRDefault="00BB30BE">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38313" w14:textId="77777777" w:rsidR="00C236F0" w:rsidRDefault="00C236F0" w:rsidP="00BB30BE">
      <w:pPr>
        <w:spacing w:line="240" w:lineRule="auto"/>
        <w:ind w:firstLine="640"/>
      </w:pPr>
      <w:r>
        <w:separator/>
      </w:r>
    </w:p>
  </w:footnote>
  <w:footnote w:type="continuationSeparator" w:id="0">
    <w:p w14:paraId="620D3E9F" w14:textId="77777777" w:rsidR="00C236F0" w:rsidRDefault="00C236F0" w:rsidP="00BB30BE">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9F4CF" w14:textId="77777777" w:rsidR="00BB30BE" w:rsidRDefault="00BB30BE">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59CB9" w14:textId="77777777" w:rsidR="00BB30BE" w:rsidRDefault="00BB30BE" w:rsidP="00BB30BE">
    <w:pPr>
      <w:pStyle w:val="ab"/>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2A64F" w14:textId="77777777" w:rsidR="00BB30BE" w:rsidRDefault="00BB30BE">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D56"/>
    <w:rsid w:val="0018571C"/>
    <w:rsid w:val="002A57EC"/>
    <w:rsid w:val="005206E4"/>
    <w:rsid w:val="0062212A"/>
    <w:rsid w:val="006F006D"/>
    <w:rsid w:val="00A90470"/>
    <w:rsid w:val="00BB30BE"/>
    <w:rsid w:val="00BE2A75"/>
    <w:rsid w:val="00BF0D56"/>
    <w:rsid w:val="00C236F0"/>
    <w:rsid w:val="00CB12B5"/>
    <w:rsid w:val="00CB51CB"/>
    <w:rsid w:val="00F72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3C337"/>
  <w15:chartTrackingRefBased/>
  <w15:docId w15:val="{954BFF43-245E-4FB0-B7F6-90276D96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06D"/>
    <w:pPr>
      <w:widowControl w:val="0"/>
      <w:spacing w:line="600" w:lineRule="exact"/>
      <w:ind w:firstLineChars="200" w:firstLine="200"/>
      <w:jc w:val="both"/>
    </w:pPr>
    <w:rPr>
      <w:rFonts w:ascii="仿宋" w:eastAsia="仿宋" w:hAnsi="仿宋" w:cs="仿宋"/>
      <w:sz w:val="32"/>
      <w:szCs w:val="32"/>
    </w:rPr>
  </w:style>
  <w:style w:type="paragraph" w:styleId="1">
    <w:name w:val="heading 1"/>
    <w:basedOn w:val="a"/>
    <w:next w:val="a"/>
    <w:link w:val="10"/>
    <w:uiPriority w:val="9"/>
    <w:qFormat/>
    <w:rsid w:val="0018571C"/>
    <w:pPr>
      <w:ind w:firstLine="640"/>
      <w:outlineLvl w:val="0"/>
    </w:pPr>
    <w:rPr>
      <w:rFonts w:ascii="黑体" w:eastAsia="黑体" w:hAnsi="黑体" w:cs="黑体"/>
    </w:rPr>
  </w:style>
  <w:style w:type="paragraph" w:styleId="2">
    <w:name w:val="heading 2"/>
    <w:basedOn w:val="a"/>
    <w:next w:val="a"/>
    <w:link w:val="20"/>
    <w:uiPriority w:val="9"/>
    <w:unhideWhenUsed/>
    <w:qFormat/>
    <w:rsid w:val="0018571C"/>
    <w:pPr>
      <w:ind w:firstLine="643"/>
      <w:outlineLvl w:val="1"/>
    </w:pPr>
    <w:rPr>
      <w:rFonts w:ascii="楷体" w:eastAsia="楷体" w:hAnsi="楷体" w:cs="楷体"/>
      <w:b/>
      <w:bCs/>
    </w:rPr>
  </w:style>
  <w:style w:type="paragraph" w:styleId="3">
    <w:name w:val="heading 3"/>
    <w:basedOn w:val="a"/>
    <w:next w:val="a"/>
    <w:link w:val="30"/>
    <w:uiPriority w:val="9"/>
    <w:unhideWhenUsed/>
    <w:qFormat/>
    <w:rsid w:val="0018571C"/>
    <w:pPr>
      <w:ind w:firstLine="640"/>
      <w:outlineLvl w:val="2"/>
    </w:pPr>
    <w:rPr>
      <w:rFonts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8571C"/>
    <w:rPr>
      <w:rFonts w:ascii="黑体" w:eastAsia="黑体" w:hAnsi="黑体" w:cs="黑体"/>
      <w:sz w:val="32"/>
      <w:szCs w:val="32"/>
    </w:rPr>
  </w:style>
  <w:style w:type="character" w:customStyle="1" w:styleId="20">
    <w:name w:val="标题 2 字符"/>
    <w:basedOn w:val="a0"/>
    <w:link w:val="2"/>
    <w:uiPriority w:val="9"/>
    <w:rsid w:val="0018571C"/>
    <w:rPr>
      <w:rFonts w:ascii="楷体" w:eastAsia="楷体" w:hAnsi="楷体" w:cs="楷体"/>
      <w:b/>
      <w:bCs/>
      <w:sz w:val="32"/>
      <w:szCs w:val="32"/>
    </w:rPr>
  </w:style>
  <w:style w:type="paragraph" w:styleId="a3">
    <w:name w:val="No Spacing"/>
    <w:aliases w:val="题目"/>
    <w:basedOn w:val="1"/>
    <w:uiPriority w:val="1"/>
    <w:qFormat/>
    <w:rsid w:val="00A90470"/>
    <w:pPr>
      <w:ind w:firstLineChars="0" w:firstLine="0"/>
      <w:jc w:val="center"/>
    </w:pPr>
    <w:rPr>
      <w:rFonts w:ascii="方正小标宋简体" w:eastAsia="方正小标宋简体" w:hAnsi="方正小标宋简体" w:cs="方正小标宋简体"/>
      <w:b/>
      <w:bCs/>
      <w:sz w:val="44"/>
      <w:szCs w:val="44"/>
    </w:rPr>
  </w:style>
  <w:style w:type="character" w:customStyle="1" w:styleId="30">
    <w:name w:val="标题 3 字符"/>
    <w:basedOn w:val="a0"/>
    <w:link w:val="3"/>
    <w:uiPriority w:val="9"/>
    <w:rsid w:val="0018571C"/>
    <w:rPr>
      <w:rFonts w:ascii="仿宋" w:eastAsia="仿宋" w:hAnsi="仿宋" w:cs="Times New Roman"/>
      <w:b/>
      <w:sz w:val="32"/>
      <w:szCs w:val="32"/>
    </w:rPr>
  </w:style>
  <w:style w:type="character" w:styleId="a4">
    <w:name w:val="Subtle Emphasis"/>
    <w:aliases w:val="单页页脚"/>
    <w:uiPriority w:val="19"/>
    <w:qFormat/>
    <w:rsid w:val="002A57EC"/>
    <w:rPr>
      <w:rFonts w:ascii="Batang" w:eastAsia="Batang" w:hAnsi="Batang"/>
      <w:sz w:val="24"/>
      <w:szCs w:val="24"/>
    </w:rPr>
  </w:style>
  <w:style w:type="paragraph" w:styleId="a5">
    <w:name w:val="Subtitle"/>
    <w:basedOn w:val="a3"/>
    <w:next w:val="a"/>
    <w:link w:val="a6"/>
    <w:uiPriority w:val="11"/>
    <w:qFormat/>
    <w:rsid w:val="002A57EC"/>
    <w:rPr>
      <w:sz w:val="36"/>
      <w:szCs w:val="36"/>
    </w:rPr>
  </w:style>
  <w:style w:type="character" w:customStyle="1" w:styleId="a6">
    <w:name w:val="副标题 字符"/>
    <w:basedOn w:val="a0"/>
    <w:link w:val="a5"/>
    <w:uiPriority w:val="11"/>
    <w:rsid w:val="002A57EC"/>
    <w:rPr>
      <w:rFonts w:ascii="方正小标宋简体" w:eastAsia="方正小标宋简体" w:hAnsi="方正小标宋简体" w:cs="方正小标宋简体"/>
      <w:b/>
      <w:bCs/>
      <w:sz w:val="36"/>
      <w:szCs w:val="36"/>
    </w:rPr>
  </w:style>
  <w:style w:type="character" w:styleId="a7">
    <w:name w:val="Emphasis"/>
    <w:aliases w:val="双页页脚"/>
    <w:basedOn w:val="a4"/>
    <w:uiPriority w:val="20"/>
    <w:qFormat/>
    <w:rsid w:val="002A57EC"/>
    <w:rPr>
      <w:rFonts w:ascii="Batang" w:eastAsia="Batang" w:hAnsi="Batang"/>
      <w:sz w:val="24"/>
      <w:szCs w:val="24"/>
    </w:rPr>
  </w:style>
  <w:style w:type="paragraph" w:styleId="a8">
    <w:name w:val="Title"/>
    <w:aliases w:val="黑体题目"/>
    <w:basedOn w:val="a"/>
    <w:next w:val="a"/>
    <w:link w:val="a9"/>
    <w:uiPriority w:val="10"/>
    <w:qFormat/>
    <w:rsid w:val="00CB12B5"/>
    <w:pPr>
      <w:spacing w:before="240" w:after="60"/>
      <w:jc w:val="center"/>
      <w:outlineLvl w:val="0"/>
    </w:pPr>
    <w:rPr>
      <w:rFonts w:ascii="黑体" w:eastAsia="黑体" w:hAnsi="黑体" w:cstheme="majorBidi"/>
      <w:b/>
      <w:bCs/>
      <w:sz w:val="44"/>
      <w:szCs w:val="44"/>
    </w:rPr>
  </w:style>
  <w:style w:type="character" w:customStyle="1" w:styleId="a9">
    <w:name w:val="标题 字符"/>
    <w:aliases w:val="黑体题目 字符"/>
    <w:basedOn w:val="a0"/>
    <w:link w:val="a8"/>
    <w:uiPriority w:val="10"/>
    <w:rsid w:val="00CB12B5"/>
    <w:rPr>
      <w:rFonts w:ascii="黑体" w:eastAsia="黑体" w:hAnsi="黑体" w:cstheme="majorBidi"/>
      <w:b/>
      <w:bCs/>
      <w:sz w:val="44"/>
      <w:szCs w:val="44"/>
    </w:rPr>
  </w:style>
  <w:style w:type="character" w:customStyle="1" w:styleId="info-l">
    <w:name w:val="info-l"/>
    <w:basedOn w:val="a0"/>
    <w:rsid w:val="00BF0D56"/>
  </w:style>
  <w:style w:type="character" w:customStyle="1" w:styleId="info-r">
    <w:name w:val="info-r"/>
    <w:basedOn w:val="a0"/>
    <w:rsid w:val="00BF0D56"/>
  </w:style>
  <w:style w:type="paragraph" w:styleId="aa">
    <w:name w:val="Normal (Web)"/>
    <w:basedOn w:val="a"/>
    <w:uiPriority w:val="99"/>
    <w:semiHidden/>
    <w:unhideWhenUsed/>
    <w:rsid w:val="00BF0D56"/>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b">
    <w:name w:val="header"/>
    <w:basedOn w:val="a"/>
    <w:link w:val="ac"/>
    <w:uiPriority w:val="99"/>
    <w:unhideWhenUsed/>
    <w:rsid w:val="00BB30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c">
    <w:name w:val="页眉 字符"/>
    <w:basedOn w:val="a0"/>
    <w:link w:val="ab"/>
    <w:uiPriority w:val="99"/>
    <w:rsid w:val="00BB30BE"/>
    <w:rPr>
      <w:rFonts w:ascii="仿宋" w:eastAsia="仿宋" w:hAnsi="仿宋" w:cs="仿宋"/>
      <w:sz w:val="18"/>
      <w:szCs w:val="18"/>
    </w:rPr>
  </w:style>
  <w:style w:type="paragraph" w:styleId="ad">
    <w:name w:val="footer"/>
    <w:basedOn w:val="a"/>
    <w:link w:val="ae"/>
    <w:uiPriority w:val="99"/>
    <w:unhideWhenUsed/>
    <w:rsid w:val="00BB30BE"/>
    <w:pPr>
      <w:tabs>
        <w:tab w:val="center" w:pos="4153"/>
        <w:tab w:val="right" w:pos="8306"/>
      </w:tabs>
      <w:snapToGrid w:val="0"/>
      <w:spacing w:line="240" w:lineRule="atLeast"/>
      <w:jc w:val="left"/>
    </w:pPr>
    <w:rPr>
      <w:sz w:val="18"/>
      <w:szCs w:val="18"/>
    </w:rPr>
  </w:style>
  <w:style w:type="character" w:customStyle="1" w:styleId="ae">
    <w:name w:val="页脚 字符"/>
    <w:basedOn w:val="a0"/>
    <w:link w:val="ad"/>
    <w:uiPriority w:val="99"/>
    <w:rsid w:val="00BB30BE"/>
    <w:rPr>
      <w:rFonts w:ascii="仿宋" w:eastAsia="仿宋" w:hAnsi="仿宋" w:cs="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6817227">
      <w:bodyDiv w:val="1"/>
      <w:marLeft w:val="0"/>
      <w:marRight w:val="0"/>
      <w:marTop w:val="0"/>
      <w:marBottom w:val="0"/>
      <w:divBdr>
        <w:top w:val="none" w:sz="0" w:space="0" w:color="auto"/>
        <w:left w:val="none" w:sz="0" w:space="0" w:color="auto"/>
        <w:bottom w:val="none" w:sz="0" w:space="0" w:color="auto"/>
        <w:right w:val="none" w:sz="0" w:space="0" w:color="auto"/>
      </w:divBdr>
      <w:divsChild>
        <w:div w:id="2033414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2021-11-23T02:24:00Z</dcterms:created>
  <dcterms:modified xsi:type="dcterms:W3CDTF">2021-11-23T02:26:00Z</dcterms:modified>
</cp:coreProperties>
</file>